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E5951C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905E2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905E2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905E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B61864" w:rsidR="00BB5FFA" w:rsidRDefault="00150FA9" w:rsidP="00A905E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905E2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="00A905E2" w:rsidRPr="00A905E2">
        <w:rPr>
          <w:rFonts w:ascii="Times New Roman" w:hAnsi="Times New Roman" w:cs="Times New Roman"/>
          <w:sz w:val="26"/>
          <w:szCs w:val="26"/>
        </w:rPr>
        <w:t>«О порядке поощрения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муниципальной управленческой команды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администрации Советского района за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достижение значений (уровней)</w:t>
      </w:r>
      <w:r w:rsidR="00A905E2">
        <w:rPr>
          <w:rFonts w:ascii="Times New Roman" w:hAnsi="Times New Roman" w:cs="Times New Roman"/>
          <w:sz w:val="26"/>
          <w:szCs w:val="26"/>
        </w:rPr>
        <w:t xml:space="preserve"> п</w:t>
      </w:r>
      <w:r w:rsidR="00A905E2" w:rsidRPr="00A905E2">
        <w:rPr>
          <w:rFonts w:ascii="Times New Roman" w:hAnsi="Times New Roman" w:cs="Times New Roman"/>
          <w:sz w:val="26"/>
          <w:szCs w:val="26"/>
        </w:rPr>
        <w:t>оказателей оценки эффективности деятельности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высших должностных лиц субъектов Российской Федерации и исполнительных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органов субъектов Российской Федерации в 2023 году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FE6F2A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E34B9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A29A2C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A905E2">
        <w:rPr>
          <w:sz w:val="26"/>
          <w:szCs w:val="26"/>
        </w:rPr>
        <w:t xml:space="preserve">постановления администрации Советского района </w:t>
      </w:r>
      <w:r w:rsidR="00A905E2" w:rsidRPr="00A905E2">
        <w:rPr>
          <w:sz w:val="26"/>
          <w:szCs w:val="26"/>
        </w:rPr>
        <w:t>«О порядке поощрения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муниципальной управленческой команды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администрации Советского района за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достижение значений (уровней)</w:t>
      </w:r>
      <w:r w:rsidR="00A905E2">
        <w:rPr>
          <w:sz w:val="26"/>
          <w:szCs w:val="26"/>
        </w:rPr>
        <w:t xml:space="preserve"> п</w:t>
      </w:r>
      <w:r w:rsidR="00A905E2" w:rsidRPr="00A905E2">
        <w:rPr>
          <w:sz w:val="26"/>
          <w:szCs w:val="26"/>
        </w:rPr>
        <w:t>оказателей оценки эффективности деятельности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высших должностных лиц субъектов Российской Федерации и исполнительных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органов субъектов Российской Федерации в 2023 году</w:t>
      </w:r>
      <w:r w:rsidR="00A905E2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A905E2">
        <w:rPr>
          <w:sz w:val="26"/>
          <w:szCs w:val="26"/>
        </w:rPr>
        <w:t>15</w:t>
      </w:r>
      <w:r w:rsidR="00561DB1" w:rsidRPr="006B0238">
        <w:rPr>
          <w:sz w:val="26"/>
          <w:szCs w:val="26"/>
        </w:rPr>
        <w:t>.</w:t>
      </w:r>
      <w:r w:rsidR="00A905E2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905E2">
        <w:rPr>
          <w:sz w:val="26"/>
          <w:szCs w:val="26"/>
        </w:rPr>
        <w:t>314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905E2">
        <w:rPr>
          <w:sz w:val="26"/>
          <w:szCs w:val="26"/>
        </w:rPr>
        <w:t>15</w:t>
      </w:r>
      <w:r w:rsidR="00561DB1" w:rsidRPr="006B0238">
        <w:rPr>
          <w:sz w:val="26"/>
          <w:szCs w:val="26"/>
        </w:rPr>
        <w:t>.</w:t>
      </w:r>
      <w:r w:rsidR="00A905E2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A905E2">
        <w:rPr>
          <w:sz w:val="26"/>
          <w:szCs w:val="26"/>
        </w:rPr>
        <w:t>395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8CF1DC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905E2">
        <w:rPr>
          <w:color w:val="000000"/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A905E2">
        <w:rPr>
          <w:sz w:val="26"/>
          <w:szCs w:val="26"/>
        </w:rPr>
        <w:t>08</w:t>
      </w:r>
      <w:r w:rsidRPr="003811CB"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A905E2">
        <w:rPr>
          <w:sz w:val="26"/>
          <w:szCs w:val="26"/>
        </w:rPr>
        <w:t>04</w:t>
      </w:r>
      <w:r w:rsidRPr="003811CB">
        <w:rPr>
          <w:sz w:val="26"/>
          <w:szCs w:val="26"/>
        </w:rPr>
        <w:t>.</w:t>
      </w:r>
      <w:r w:rsidR="00A905E2">
        <w:rPr>
          <w:sz w:val="26"/>
          <w:szCs w:val="26"/>
        </w:rPr>
        <w:t>09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A905E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5E4054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905E2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A905E2">
        <w:rPr>
          <w:sz w:val="26"/>
          <w:szCs w:val="26"/>
        </w:rPr>
        <w:t>08</w:t>
      </w:r>
      <w:r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A905E2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A905E2">
        <w:rPr>
          <w:sz w:val="26"/>
          <w:szCs w:val="26"/>
        </w:rPr>
        <w:t>08</w:t>
      </w:r>
      <w:r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564E0E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905E2">
        <w:rPr>
          <w:sz w:val="26"/>
          <w:szCs w:val="26"/>
        </w:rPr>
        <w:t xml:space="preserve">установление общего порядка </w:t>
      </w:r>
      <w:r w:rsidR="00A905E2">
        <w:rPr>
          <w:rStyle w:val="FontStyle13"/>
          <w:sz w:val="26"/>
          <w:szCs w:val="26"/>
        </w:rPr>
        <w:t>поощрения муниципальной управленческой команды администрации Советского района за достижение</w:t>
      </w:r>
      <w:r w:rsidR="00A905E2" w:rsidRP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значений (уровней)</w:t>
      </w:r>
      <w:r w:rsidR="00A905E2">
        <w:rPr>
          <w:sz w:val="26"/>
          <w:szCs w:val="26"/>
        </w:rPr>
        <w:t xml:space="preserve"> п</w:t>
      </w:r>
      <w:r w:rsidR="00A905E2" w:rsidRPr="00A905E2">
        <w:rPr>
          <w:sz w:val="26"/>
          <w:szCs w:val="26"/>
        </w:rPr>
        <w:t>оказателей оценки эффективности деятельности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высших должностных лиц субъектов Российской Федерации и исполнительных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органов субъектов Российской Федерации в 2023 году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549B7C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905E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27A0D0CC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A905E2">
        <w:rPr>
          <w:b/>
          <w:bCs/>
          <w:sz w:val="26"/>
          <w:szCs w:val="26"/>
        </w:rPr>
        <w:t xml:space="preserve"> с </w:t>
      </w:r>
      <w:r w:rsidR="00A905E2">
        <w:rPr>
          <w:b/>
          <w:bCs/>
          <w:sz w:val="26"/>
          <w:szCs w:val="26"/>
        </w:rPr>
        <w:lastRenderedPageBreak/>
        <w:t>рекомендацией исключить из состава управленческой команды лиц, замещающих муниципальные должности до принятия соответствующего МПА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904EF9"/>
    <w:rsid w:val="00A03981"/>
    <w:rsid w:val="00A70784"/>
    <w:rsid w:val="00A905E2"/>
    <w:rsid w:val="00AB4050"/>
    <w:rsid w:val="00AE34B9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2022-10-31T10:20:00Z</cp:lastPrinted>
  <dcterms:created xsi:type="dcterms:W3CDTF">2022-07-06T07:40:00Z</dcterms:created>
  <dcterms:modified xsi:type="dcterms:W3CDTF">2023-08-17T13:06:00Z</dcterms:modified>
</cp:coreProperties>
</file>